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C" w:rsidRDefault="00AE199C" w:rsidP="00AE199C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для оценки эффективности деятельности</w:t>
      </w:r>
    </w:p>
    <w:p w:rsidR="00AE199C" w:rsidRDefault="00AE199C" w:rsidP="00AE1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органов местного самоуправления муниципальных, городских округов и муниципальных районов</w:t>
      </w:r>
    </w:p>
    <w:p w:rsidR="00AE199C" w:rsidRDefault="00AE199C" w:rsidP="00AE199C">
      <w:pPr>
        <w:widowControl/>
        <w:spacing w:line="240" w:lineRule="exact"/>
        <w:jc w:val="center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>(в соответствии с Указом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(в редакции от 11.06.2021) и постановлением Правительства Российской Федерации от 17 декабря 2012 г. № 1317 (в редакции от 30.06.2021)</w:t>
      </w:r>
      <w:proofErr w:type="gramEnd"/>
    </w:p>
    <w:p w:rsidR="00AE199C" w:rsidRDefault="00AE199C" w:rsidP="00AE199C">
      <w:pPr>
        <w:widowControl/>
        <w:spacing w:line="200" w:lineRule="exact"/>
        <w:jc w:val="center"/>
        <w:rPr>
          <w:rFonts w:eastAsia="Calibri"/>
          <w:sz w:val="12"/>
          <w:szCs w:val="24"/>
          <w:lang w:eastAsia="en-US"/>
        </w:rPr>
      </w:pPr>
    </w:p>
    <w:tbl>
      <w:tblPr>
        <w:tblW w:w="13687" w:type="dxa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819"/>
        <w:gridCol w:w="1134"/>
        <w:gridCol w:w="2127"/>
        <w:gridCol w:w="3061"/>
        <w:gridCol w:w="2136"/>
      </w:tblGrid>
      <w:tr w:rsidR="00A62C81" w:rsidTr="00A62C81">
        <w:trPr>
          <w:trHeight w:val="1054"/>
          <w:tblHeader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192208">
            <w:pPr>
              <w:ind w:left="-57" w:right="-5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  <w:t>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</w:rPr>
              <w:t>Периодич-ность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Форма отчетности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Примечание (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разрезность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62C81" w:rsidRDefault="00A62C81" w:rsidP="00192208">
            <w:pPr>
              <w:ind w:left="-57" w:right="-57"/>
              <w:jc w:val="center"/>
              <w:rPr>
                <w:b/>
                <w:bCs/>
                <w:i/>
                <w:sz w:val="20"/>
              </w:rPr>
            </w:pPr>
          </w:p>
          <w:p w:rsidR="00A62C81" w:rsidRDefault="00A62C81" w:rsidP="00192208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Срок публикации</w:t>
            </w:r>
            <w:r>
              <w:rPr>
                <w:b/>
                <w:bCs/>
                <w:i/>
                <w:sz w:val="20"/>
              </w:rPr>
              <w:br/>
              <w:t xml:space="preserve"> по ФПСР</w:t>
            </w:r>
          </w:p>
        </w:tc>
      </w:tr>
      <w:tr w:rsidR="00A62C81" w:rsidTr="00A62C81">
        <w:trPr>
          <w:trHeight w:val="79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инвестиций в основной капитал</w:t>
            </w:r>
            <w:r>
              <w:rPr>
                <w:sz w:val="20"/>
              </w:rPr>
              <w:br/>
              <w:t>(за исключением бюджетных средств)</w:t>
            </w:r>
            <w:r>
              <w:rPr>
                <w:sz w:val="20"/>
              </w:rPr>
              <w:br/>
              <w:t>в расчете на 1 жителя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П-2, 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), данные текущего учета населения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96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02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прибыльных сельскохозяйственных </w:t>
            </w:r>
            <w:proofErr w:type="gramStart"/>
            <w:r>
              <w:rPr>
                <w:sz w:val="20"/>
              </w:rPr>
              <w:t>организаций</w:t>
            </w:r>
            <w:proofErr w:type="gramEnd"/>
            <w:r>
              <w:rPr>
                <w:sz w:val="20"/>
              </w:rPr>
              <w:t xml:space="preserve"> в общем их числе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виды экономической деятельности,</w:t>
            </w:r>
            <w:r>
              <w:rPr>
                <w:sz w:val="20"/>
              </w:rPr>
              <w:br/>
              <w:t>формы собственности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62C81" w:rsidTr="00A62C81">
        <w:trPr>
          <w:trHeight w:val="107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значения,</w:t>
            </w:r>
            <w:r>
              <w:rPr>
                <w:sz w:val="20"/>
              </w:rPr>
              <w:br/>
              <w:t>не отвечающих нормативным требованиям,</w:t>
            </w:r>
            <w:r>
              <w:rPr>
                <w:sz w:val="20"/>
              </w:rPr>
              <w:br/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), расчет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120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населения, проживающего</w:t>
            </w:r>
            <w:r>
              <w:rPr>
                <w:sz w:val="20"/>
              </w:rPr>
              <w:br/>
              <w:t>в населенных пунктах, не имеющих регулярного автобусного и (или) железнодорожного сообщения</w:t>
            </w:r>
            <w:r>
              <w:rPr>
                <w:sz w:val="20"/>
              </w:rPr>
              <w:br/>
              <w:t>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79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крупных</w:t>
            </w:r>
            <w:r>
              <w:rPr>
                <w:sz w:val="20"/>
              </w:rPr>
              <w:br/>
              <w:t>и средних предприятий и некоммерческих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79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79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79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79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96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детей в возрасте 1-6 лет, получающих дошкольную образовательную услугу</w:t>
            </w:r>
            <w:r>
              <w:rPr>
                <w:sz w:val="20"/>
              </w:rPr>
              <w:br/>
              <w:t>и (или) услугу по их содержанию</w:t>
            </w:r>
            <w:r>
              <w:rPr>
                <w:sz w:val="20"/>
              </w:rPr>
              <w:br/>
              <w:t>в муниципальных образовательных учреждениях в общей численности детей</w:t>
            </w:r>
            <w:r>
              <w:rPr>
                <w:sz w:val="20"/>
              </w:rPr>
              <w:br/>
              <w:t>в возрасте 1-6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1191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79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приходящаяся в среднем на одного жителя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1-жилфонд, данные текущего учета населения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96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введенная в действие за год, приходящаяся</w:t>
            </w:r>
            <w:r>
              <w:rPr>
                <w:sz w:val="20"/>
              </w:rPr>
              <w:br/>
              <w:t>в среднем на одного жителя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С-1, </w:t>
            </w:r>
            <w:r>
              <w:rPr>
                <w:sz w:val="20"/>
              </w:rPr>
              <w:br/>
              <w:t xml:space="preserve">№ ИЖС </w:t>
            </w:r>
            <w:r>
              <w:rPr>
                <w:sz w:val="20"/>
              </w:rPr>
              <w:br/>
              <w:t>данные текущего учета населения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85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</w:t>
            </w:r>
            <w:r>
              <w:rPr>
                <w:sz w:val="20"/>
              </w:rPr>
              <w:br/>
              <w:t>в расчете на 10 000 человек населения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85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 том числе для жилищного строительства, индивидуального строительства</w:t>
            </w:r>
            <w:r>
              <w:rPr>
                <w:sz w:val="20"/>
              </w:rPr>
              <w:br/>
              <w:t>и комплексного освоения в целях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75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Площадь земельных участков, предоставленных для строительства объектов жилищного строительства, </w:t>
            </w:r>
            <w:r>
              <w:rPr>
                <w:sz w:val="20"/>
              </w:rPr>
              <w:br/>
              <w:t xml:space="preserve">в отношении которых </w:t>
            </w:r>
            <w:proofErr w:type="gramStart"/>
            <w:r>
              <w:rPr>
                <w:sz w:val="20"/>
              </w:rPr>
              <w:t>с даты принятия</w:t>
            </w:r>
            <w:proofErr w:type="gramEnd"/>
            <w:r>
              <w:rPr>
                <w:sz w:val="20"/>
              </w:rPr>
              <w:t xml:space="preserve"> решения о предоставлении земельного участка или подписания протокола</w:t>
            </w:r>
            <w:r>
              <w:rPr>
                <w:sz w:val="20"/>
              </w:rPr>
              <w:br/>
              <w:t>о результатах торгов (конкурсов, аукционов) не было получено разрешение на ввод</w:t>
            </w:r>
            <w:r>
              <w:rPr>
                <w:sz w:val="20"/>
              </w:rPr>
              <w:br/>
              <w:t>в эксплуатацию в течение трех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20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 иных объектов капитального строительства,</w:t>
            </w:r>
            <w:r>
              <w:rPr>
                <w:sz w:val="20"/>
              </w:rPr>
              <w:br/>
              <w:t xml:space="preserve">в отношении которых </w:t>
            </w:r>
            <w:proofErr w:type="gramStart"/>
            <w:r>
              <w:rPr>
                <w:sz w:val="20"/>
              </w:rPr>
              <w:t>с даты принятия</w:t>
            </w:r>
            <w:proofErr w:type="gramEnd"/>
            <w:r>
              <w:rPr>
                <w:sz w:val="20"/>
              </w:rPr>
              <w:t xml:space="preserve"> решения о предоставлении земельного участка или подписания протокола</w:t>
            </w:r>
            <w:r>
              <w:rPr>
                <w:sz w:val="20"/>
              </w:rPr>
              <w:br/>
              <w:t>о результатах торгов (конкурсов, аукционов) не было получено разрешение на ввод</w:t>
            </w:r>
            <w:r>
              <w:rPr>
                <w:sz w:val="20"/>
              </w:rPr>
              <w:br/>
              <w:t>в эксплуатацию в течение пяти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13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многоквартирных домов, расположенных на земельных участках, </w:t>
            </w:r>
            <w:r>
              <w:rPr>
                <w:sz w:val="20"/>
              </w:rPr>
              <w:br/>
              <w:t>в отношении которых осуществлен государственный кадастровый учет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20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20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  <w:r>
              <w:rPr>
                <w:sz w:val="20"/>
              </w:rPr>
              <w:br/>
              <w:t xml:space="preserve">в общем объеме собственных доходов бюджета муниципального образования </w:t>
            </w:r>
            <w:r>
              <w:rPr>
                <w:sz w:val="20"/>
              </w:rPr>
              <w:br/>
              <w:t>(без учета субвенций)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191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основных фондов организаций муниципальной формы собственности, находящихся в стадии банкротства, </w:t>
            </w:r>
            <w:r>
              <w:rPr>
                <w:sz w:val="20"/>
              </w:rPr>
              <w:br/>
              <w:t xml:space="preserve">в основных фондах организаций муниципальной формы собственности </w:t>
            </w:r>
            <w:r>
              <w:rPr>
                <w:sz w:val="20"/>
              </w:rPr>
              <w:br/>
              <w:t>(на конец года, по полной учетной стоимости)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96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Объем не завершенного в установленные сроки строительства, осуществляемого </w:t>
            </w:r>
            <w:r>
              <w:rPr>
                <w:sz w:val="20"/>
              </w:rPr>
              <w:br/>
              <w:t>за счет средств бюджета муниципального, городского округа (муниципального района)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20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jc w:val="center"/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02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jc w:val="center"/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02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в муниципальном,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(да/нет)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96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Среднегодовая численность постоянного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62C81" w:rsidTr="00A62C81">
        <w:trPr>
          <w:trHeight w:val="79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электрической энергии в многоквартирных домах на 1 проживающего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73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тепловой энергии в многоквартирных домах </w:t>
            </w:r>
            <w:r>
              <w:rPr>
                <w:sz w:val="20"/>
              </w:rPr>
              <w:br/>
              <w:t>на 1 кв. метр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73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горячей воды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апреля </w:t>
            </w:r>
          </w:p>
        </w:tc>
      </w:tr>
      <w:tr w:rsidR="00A62C81" w:rsidTr="00A62C81">
        <w:trPr>
          <w:trHeight w:val="73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холодной воды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73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природного газа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24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электрической энергии муниципальными бюджетными учреждениями на 1 человека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24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тепловой энергии муниципальными бюджетными учреждениями на 1 кв. метр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24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горячей воды муниципальными бюджетными учреждениями на 1 человека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24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холодной воды муниципальными бюджетными учреждениями на 1 человека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62C81" w:rsidTr="00A62C81">
        <w:trPr>
          <w:trHeight w:val="124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A62C81" w:rsidRDefault="00A62C81" w:rsidP="00AE199C">
            <w:pPr>
              <w:pStyle w:val="a3"/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природного газа муниципальными бюджетными учреждениями на 1 человека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A62C81" w:rsidRDefault="00A62C81" w:rsidP="0019220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</w:tbl>
    <w:p w:rsidR="00C568E7" w:rsidRDefault="00C568E7"/>
    <w:sectPr w:rsidR="00C568E7" w:rsidSect="00AE1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0654"/>
    <w:multiLevelType w:val="hybridMultilevel"/>
    <w:tmpl w:val="E514CD80"/>
    <w:lvl w:ilvl="0" w:tplc="216210A6">
      <w:start w:val="1"/>
      <w:numFmt w:val="decimal"/>
      <w:lvlText w:val="%1."/>
      <w:lvlJc w:val="left"/>
      <w:pPr>
        <w:ind w:left="720" w:hanging="360"/>
      </w:pPr>
    </w:lvl>
    <w:lvl w:ilvl="1" w:tplc="00CAA6E4">
      <w:start w:val="1"/>
      <w:numFmt w:val="lowerLetter"/>
      <w:lvlText w:val="%2."/>
      <w:lvlJc w:val="left"/>
      <w:pPr>
        <w:ind w:left="1440" w:hanging="360"/>
      </w:pPr>
    </w:lvl>
    <w:lvl w:ilvl="2" w:tplc="0B007174">
      <w:start w:val="1"/>
      <w:numFmt w:val="lowerRoman"/>
      <w:lvlText w:val="%3."/>
      <w:lvlJc w:val="right"/>
      <w:pPr>
        <w:ind w:left="2160" w:hanging="180"/>
      </w:pPr>
    </w:lvl>
    <w:lvl w:ilvl="3" w:tplc="C84465F6">
      <w:start w:val="1"/>
      <w:numFmt w:val="decimal"/>
      <w:lvlText w:val="%4."/>
      <w:lvlJc w:val="left"/>
      <w:pPr>
        <w:ind w:left="2880" w:hanging="360"/>
      </w:pPr>
    </w:lvl>
    <w:lvl w:ilvl="4" w:tplc="FF2A94A4">
      <w:start w:val="1"/>
      <w:numFmt w:val="lowerLetter"/>
      <w:lvlText w:val="%5."/>
      <w:lvlJc w:val="left"/>
      <w:pPr>
        <w:ind w:left="3600" w:hanging="360"/>
      </w:pPr>
    </w:lvl>
    <w:lvl w:ilvl="5" w:tplc="E884C7B8">
      <w:start w:val="1"/>
      <w:numFmt w:val="lowerRoman"/>
      <w:lvlText w:val="%6."/>
      <w:lvlJc w:val="right"/>
      <w:pPr>
        <w:ind w:left="4320" w:hanging="180"/>
      </w:pPr>
    </w:lvl>
    <w:lvl w:ilvl="6" w:tplc="8ABA956C">
      <w:start w:val="1"/>
      <w:numFmt w:val="decimal"/>
      <w:lvlText w:val="%7."/>
      <w:lvlJc w:val="left"/>
      <w:pPr>
        <w:ind w:left="5040" w:hanging="360"/>
      </w:pPr>
    </w:lvl>
    <w:lvl w:ilvl="7" w:tplc="D0D4E0E6">
      <w:start w:val="1"/>
      <w:numFmt w:val="lowerLetter"/>
      <w:lvlText w:val="%8."/>
      <w:lvlJc w:val="left"/>
      <w:pPr>
        <w:ind w:left="5760" w:hanging="360"/>
      </w:pPr>
    </w:lvl>
    <w:lvl w:ilvl="8" w:tplc="85EC4C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C"/>
    <w:rsid w:val="009178F1"/>
    <w:rsid w:val="00A62C81"/>
    <w:rsid w:val="00AE199C"/>
    <w:rsid w:val="00C568E7"/>
    <w:rsid w:val="00E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Стицюк Олеся Александровна</dc:creator>
  <cp:lastModifiedBy>Стицюк Олеся Александровна</cp:lastModifiedBy>
  <cp:revision>2</cp:revision>
  <dcterms:created xsi:type="dcterms:W3CDTF">2024-02-09T09:16:00Z</dcterms:created>
  <dcterms:modified xsi:type="dcterms:W3CDTF">2024-02-09T11:31:00Z</dcterms:modified>
</cp:coreProperties>
</file>